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87D36" w14:textId="77777777" w:rsidR="00812B13" w:rsidRDefault="00812B13" w:rsidP="00812B13">
      <w:pPr>
        <w:pStyle w:val="a3"/>
        <w:spacing w:before="0" w:after="0"/>
        <w:ind w:left="0" w:right="0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  <w:lang w:val="ru-RU"/>
        </w:rPr>
      </w:pPr>
      <w:r w:rsidRPr="00812B1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Комунальне підприємство Білоцерківської міської ради</w:t>
      </w:r>
      <w:r w:rsidRPr="00812B13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14:paraId="71945703" w14:textId="7780F373" w:rsidR="00812B13" w:rsidRPr="00812B13" w:rsidRDefault="00812B13" w:rsidP="00812B13">
      <w:pPr>
        <w:pStyle w:val="a3"/>
        <w:spacing w:before="0" w:after="0"/>
        <w:ind w:left="0" w:righ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2B1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«Підприємство готельного господарства» </w:t>
      </w:r>
    </w:p>
    <w:p w14:paraId="6CF8B7E9" w14:textId="09A09196" w:rsidR="00812B13" w:rsidRPr="00247A11" w:rsidRDefault="00812B13" w:rsidP="00812B13">
      <w:pPr>
        <w:pStyle w:val="a3"/>
        <w:spacing w:before="0" w:after="0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247A11">
        <w:rPr>
          <w:rFonts w:ascii="Times New Roman" w:hAnsi="Times New Roman" w:cs="Times New Roman"/>
          <w:color w:val="auto"/>
          <w:sz w:val="24"/>
          <w:szCs w:val="24"/>
        </w:rPr>
        <w:t xml:space="preserve"> 09100</w:t>
      </w:r>
      <w:r w:rsidR="00247A11" w:rsidRPr="00247A1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47A11">
        <w:rPr>
          <w:rFonts w:ascii="Times New Roman" w:hAnsi="Times New Roman" w:cs="Times New Roman"/>
          <w:color w:val="auto"/>
          <w:sz w:val="24"/>
          <w:szCs w:val="24"/>
        </w:rPr>
        <w:t xml:space="preserve"> Київська область, Київська область, бульвар 50-річчя Перемоги, буд. 94, код ЄДРПОУ 03802958, </w:t>
      </w:r>
      <w:proofErr w:type="spellStart"/>
      <w:r w:rsidRPr="00247A11">
        <w:rPr>
          <w:rFonts w:ascii="Times New Roman" w:hAnsi="Times New Roman" w:cs="Times New Roman"/>
          <w:color w:val="auto"/>
          <w:sz w:val="24"/>
          <w:szCs w:val="24"/>
        </w:rPr>
        <w:t>тел</w:t>
      </w:r>
      <w:proofErr w:type="spellEnd"/>
      <w:r w:rsidRPr="00247A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.+38 </w:t>
      </w:r>
      <w:r w:rsidRPr="00247A11">
        <w:rPr>
          <w:rFonts w:ascii="Times New Roman" w:hAnsi="Times New Roman" w:cs="Times New Roman"/>
          <w:color w:val="auto"/>
          <w:sz w:val="24"/>
          <w:szCs w:val="24"/>
        </w:rPr>
        <w:t xml:space="preserve">(045) 636-64-27, </w:t>
      </w:r>
      <w:r w:rsidRPr="00247A11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247A11"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247A11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247A1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hyperlink r:id="rId5" w:history="1">
        <w:r w:rsidRPr="00247A1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rosy_pgg@ukr.net</w:t>
        </w:r>
      </w:hyperlink>
    </w:p>
    <w:p w14:paraId="6A5C04C7" w14:textId="77777777" w:rsidR="00812B13" w:rsidRPr="00812B13" w:rsidRDefault="00812B13" w:rsidP="00812B1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47A11" w14:paraId="54E34584" w14:textId="77777777" w:rsidTr="00247A11">
        <w:tc>
          <w:tcPr>
            <w:tcW w:w="4814" w:type="dxa"/>
          </w:tcPr>
          <w:p w14:paraId="778DB914" w14:textId="02076103" w:rsidR="00247A11" w:rsidRPr="00864E86" w:rsidRDefault="00864E86" w:rsidP="00812B13">
            <w:proofErr w:type="spellStart"/>
            <w:r w:rsidRPr="00864E86">
              <w:rPr>
                <w:rFonts w:ascii="Times New Roman" w:hAnsi="Times New Roman" w:cs="Times New Roman"/>
                <w:sz w:val="24"/>
                <w:szCs w:val="24"/>
              </w:rPr>
              <w:t>Вих</w:t>
            </w:r>
            <w:proofErr w:type="spellEnd"/>
            <w:r w:rsidRPr="00864E86">
              <w:rPr>
                <w:rFonts w:ascii="Times New Roman" w:hAnsi="Times New Roman" w:cs="Times New Roman"/>
                <w:sz w:val="24"/>
                <w:szCs w:val="24"/>
              </w:rPr>
              <w:t>. № _____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13.05.2021</w:t>
            </w:r>
          </w:p>
        </w:tc>
        <w:tc>
          <w:tcPr>
            <w:tcW w:w="4815" w:type="dxa"/>
          </w:tcPr>
          <w:p w14:paraId="5900F1F6" w14:textId="77777777" w:rsidR="00247A11" w:rsidRPr="00247A11" w:rsidRDefault="00247A11" w:rsidP="00812B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Білоцерківська міська рада</w:t>
            </w:r>
          </w:p>
          <w:p w14:paraId="7174652B" w14:textId="414E965F" w:rsidR="00247A11" w:rsidRDefault="00247A11" w:rsidP="0024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A11">
              <w:rPr>
                <w:rFonts w:ascii="Times New Roman" w:hAnsi="Times New Roman" w:cs="Times New Roman"/>
                <w:sz w:val="24"/>
                <w:szCs w:val="24"/>
              </w:rPr>
              <w:t>09117, м. Біла Церква, вул. Ярослава Мудрого, 15                                                                                             е-</w:t>
            </w:r>
            <w:proofErr w:type="spellStart"/>
            <w:r w:rsidRPr="00247A1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47A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592D5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bc_mvk@bc-rada.gov.ua</w:t>
              </w:r>
            </w:hyperlink>
          </w:p>
          <w:p w14:paraId="130228C8" w14:textId="341DACA1" w:rsidR="00247A11" w:rsidRPr="00247A11" w:rsidRDefault="00247A11" w:rsidP="00247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61481B" w14:textId="77777777" w:rsidR="00864E86" w:rsidRDefault="00864E86" w:rsidP="00864E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AC2C1F" w14:textId="40E5133D" w:rsidR="000C7B8E" w:rsidRPr="00864E86" w:rsidRDefault="004515ED" w:rsidP="004515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E86">
        <w:rPr>
          <w:rFonts w:ascii="Times New Roman" w:hAnsi="Times New Roman" w:cs="Times New Roman"/>
          <w:sz w:val="26"/>
          <w:szCs w:val="26"/>
        </w:rPr>
        <w:t xml:space="preserve">Комунальне підприємство Білоцерківської міської ради «Підприємство готельного господарства» </w:t>
      </w:r>
      <w:r w:rsidR="000E2D57" w:rsidRPr="00864E86">
        <w:rPr>
          <w:rFonts w:ascii="Times New Roman" w:hAnsi="Times New Roman" w:cs="Times New Roman"/>
          <w:sz w:val="26"/>
          <w:szCs w:val="26"/>
        </w:rPr>
        <w:t>(</w:t>
      </w:r>
      <w:r w:rsidR="000E2D57" w:rsidRPr="00864E86">
        <w:rPr>
          <w:rFonts w:ascii="Times New Roman" w:hAnsi="Times New Roman" w:cs="Times New Roman"/>
          <w:i/>
          <w:iCs/>
          <w:sz w:val="26"/>
          <w:szCs w:val="26"/>
        </w:rPr>
        <w:t>далі - КП БМР «Підприємство готельного господарства»/підприємство</w:t>
      </w:r>
      <w:r w:rsidR="00864E86">
        <w:rPr>
          <w:rFonts w:ascii="Times New Roman" w:hAnsi="Times New Roman" w:cs="Times New Roman"/>
          <w:i/>
          <w:iCs/>
          <w:sz w:val="26"/>
          <w:szCs w:val="26"/>
        </w:rPr>
        <w:t>/готель</w:t>
      </w:r>
      <w:r w:rsidR="000E2D57" w:rsidRPr="00864E86">
        <w:rPr>
          <w:rFonts w:ascii="Times New Roman" w:hAnsi="Times New Roman" w:cs="Times New Roman"/>
          <w:sz w:val="26"/>
          <w:szCs w:val="26"/>
        </w:rPr>
        <w:t xml:space="preserve">) </w:t>
      </w:r>
      <w:r w:rsidRPr="00864E86">
        <w:rPr>
          <w:rFonts w:ascii="Times New Roman" w:hAnsi="Times New Roman" w:cs="Times New Roman"/>
          <w:sz w:val="26"/>
          <w:szCs w:val="26"/>
        </w:rPr>
        <w:t>є підприємством, предметом діяльності якого відповідно до Статуту є надання платних послуг в готелі, автостоянці, у т. ч. побутове обслуговування; здійснення торгово-закупівельних операцій по всіх видах товарів, включаючи спиртні напої, переробку та виробництво</w:t>
      </w:r>
      <w:r w:rsidR="00982877" w:rsidRPr="00864E86">
        <w:rPr>
          <w:rFonts w:ascii="Times New Roman" w:hAnsi="Times New Roman" w:cs="Times New Roman"/>
          <w:sz w:val="26"/>
          <w:szCs w:val="26"/>
        </w:rPr>
        <w:t xml:space="preserve"> продуктів харчування та їх реалізацію; здійснення виробництва і реалізація кулінарних та кондитерських продуктів, забезпечення торговельного обслуговування населення; виконання організаційно-технічних заходів по покращенню використання матеріалів та сировини, економічного стимулювання, покращення організації праці в господарстві; укріплення господарського розрахунку, підвищення рентабельності і максимальне збільшення прибутків підприємства, підвищення ефективності основних і обігових коштів; виконання всіх необхідних заходів по охороні праці і техніки безпеки на робочих місцях.</w:t>
      </w:r>
      <w:r w:rsidR="000C7B8E" w:rsidRPr="00864E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734832" w14:textId="77777777" w:rsidR="000C7B8E" w:rsidRPr="00864E86" w:rsidRDefault="000C7B8E" w:rsidP="004515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E86">
        <w:rPr>
          <w:rFonts w:ascii="Times New Roman" w:hAnsi="Times New Roman" w:cs="Times New Roman"/>
          <w:sz w:val="26"/>
          <w:szCs w:val="26"/>
        </w:rPr>
        <w:t>Таким чином, фактична основна діяльність підприємства відповідає вищезазначеним видам діяльності, передбаченим статутом.</w:t>
      </w:r>
    </w:p>
    <w:p w14:paraId="1E3AFBFA" w14:textId="75900303" w:rsidR="00E10DE0" w:rsidRPr="00E10DE0" w:rsidRDefault="00E10DE0" w:rsidP="00E10DE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DE0">
        <w:rPr>
          <w:rFonts w:ascii="Times New Roman" w:hAnsi="Times New Roman" w:cs="Times New Roman"/>
          <w:sz w:val="26"/>
          <w:szCs w:val="26"/>
        </w:rPr>
        <w:t>Основні фінансові показники комунального підприємства Білоцерківської міської ради «Підприємство готельного господарства»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за 2020 </w:t>
      </w:r>
      <w:r>
        <w:rPr>
          <w:rFonts w:ascii="Times New Roman" w:hAnsi="Times New Roman" w:cs="Times New Roman"/>
          <w:sz w:val="26"/>
          <w:szCs w:val="26"/>
        </w:rPr>
        <w:t>рік та планові показники на 2021 рік 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2410"/>
        <w:gridCol w:w="2410"/>
      </w:tblGrid>
      <w:tr w:rsidR="00E10DE0" w:rsidRPr="0062157F" w14:paraId="25A2BD70" w14:textId="77777777" w:rsidTr="00E10DE0">
        <w:tc>
          <w:tcPr>
            <w:tcW w:w="4791" w:type="dxa"/>
          </w:tcPr>
          <w:p w14:paraId="773A7E17" w14:textId="77777777" w:rsidR="00E10DE0" w:rsidRPr="0062157F" w:rsidRDefault="00E10DE0" w:rsidP="008966CA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A043364" w14:textId="77777777" w:rsidR="00E10DE0" w:rsidRPr="0062157F" w:rsidRDefault="00E10DE0" w:rsidP="008966CA">
            <w:pPr>
              <w:jc w:val="center"/>
            </w:pPr>
            <w:r w:rsidRPr="0062157F">
              <w:t>Факт 20</w:t>
            </w:r>
            <w:r>
              <w:t xml:space="preserve">20 </w:t>
            </w:r>
            <w:r w:rsidRPr="0062157F">
              <w:t>року</w:t>
            </w:r>
          </w:p>
        </w:tc>
        <w:tc>
          <w:tcPr>
            <w:tcW w:w="2410" w:type="dxa"/>
          </w:tcPr>
          <w:p w14:paraId="2E3440B2" w14:textId="77777777" w:rsidR="00E10DE0" w:rsidRPr="0062157F" w:rsidRDefault="00E10DE0" w:rsidP="008966CA">
            <w:pPr>
              <w:jc w:val="center"/>
            </w:pPr>
            <w:r w:rsidRPr="0062157F">
              <w:t>План 20</w:t>
            </w:r>
            <w:r>
              <w:t>21 р.</w:t>
            </w:r>
          </w:p>
        </w:tc>
      </w:tr>
      <w:tr w:rsidR="00E10DE0" w:rsidRPr="0062157F" w14:paraId="5EB0795D" w14:textId="77777777" w:rsidTr="00E10DE0">
        <w:trPr>
          <w:trHeight w:val="299"/>
        </w:trPr>
        <w:tc>
          <w:tcPr>
            <w:tcW w:w="4791" w:type="dxa"/>
          </w:tcPr>
          <w:p w14:paraId="6F4A442E" w14:textId="77777777" w:rsidR="00E10DE0" w:rsidRPr="0062157F" w:rsidRDefault="00E10DE0" w:rsidP="008966CA">
            <w:r>
              <w:t xml:space="preserve">Витрати на </w:t>
            </w:r>
            <w:r w:rsidRPr="0062157F">
              <w:t xml:space="preserve"> оплат</w:t>
            </w:r>
            <w:r>
              <w:t>у</w:t>
            </w:r>
            <w:r w:rsidRPr="0062157F">
              <w:t xml:space="preserve"> праці</w:t>
            </w:r>
          </w:p>
        </w:tc>
        <w:tc>
          <w:tcPr>
            <w:tcW w:w="2410" w:type="dxa"/>
          </w:tcPr>
          <w:p w14:paraId="0F269864" w14:textId="77777777" w:rsidR="00E10DE0" w:rsidRPr="0062157F" w:rsidRDefault="00E10DE0" w:rsidP="008966CA">
            <w:pPr>
              <w:jc w:val="center"/>
            </w:pPr>
            <w:r>
              <w:t>1416,6</w:t>
            </w:r>
          </w:p>
        </w:tc>
        <w:tc>
          <w:tcPr>
            <w:tcW w:w="2410" w:type="dxa"/>
          </w:tcPr>
          <w:p w14:paraId="56B0FB95" w14:textId="77777777" w:rsidR="00E10DE0" w:rsidRPr="0062157F" w:rsidRDefault="00E10DE0" w:rsidP="008966CA">
            <w:pPr>
              <w:jc w:val="center"/>
            </w:pPr>
            <w:r>
              <w:t>1674,3</w:t>
            </w:r>
          </w:p>
        </w:tc>
      </w:tr>
      <w:tr w:rsidR="00E10DE0" w:rsidRPr="0062157F" w14:paraId="0ED6D605" w14:textId="77777777" w:rsidTr="00E10DE0">
        <w:tc>
          <w:tcPr>
            <w:tcW w:w="4791" w:type="dxa"/>
          </w:tcPr>
          <w:p w14:paraId="332CD6C1" w14:textId="77777777" w:rsidR="00E10DE0" w:rsidRPr="0062157F" w:rsidRDefault="00E10DE0" w:rsidP="008966CA">
            <w:r w:rsidRPr="0062157F">
              <w:t>Середня чисельність працівників</w:t>
            </w:r>
          </w:p>
        </w:tc>
        <w:tc>
          <w:tcPr>
            <w:tcW w:w="2410" w:type="dxa"/>
          </w:tcPr>
          <w:p w14:paraId="5A376827" w14:textId="77777777" w:rsidR="00E10DE0" w:rsidRPr="0062157F" w:rsidRDefault="00E10DE0" w:rsidP="008966CA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14:paraId="1AA3894C" w14:textId="77777777" w:rsidR="00E10DE0" w:rsidRPr="0062157F" w:rsidRDefault="00E10DE0" w:rsidP="008966CA">
            <w:pPr>
              <w:jc w:val="center"/>
            </w:pPr>
            <w:r>
              <w:t>28</w:t>
            </w:r>
          </w:p>
        </w:tc>
      </w:tr>
      <w:tr w:rsidR="00E10DE0" w:rsidRPr="0062157F" w14:paraId="3526B1C5" w14:textId="77777777" w:rsidTr="00E10DE0">
        <w:tc>
          <w:tcPr>
            <w:tcW w:w="4791" w:type="dxa"/>
          </w:tcPr>
          <w:p w14:paraId="62DD3423" w14:textId="77777777" w:rsidR="00E10DE0" w:rsidRPr="0062157F" w:rsidRDefault="00E10DE0" w:rsidP="008966CA">
            <w:r w:rsidRPr="0062157F">
              <w:t>Середньомісячна заробітна плата штатного працівника</w:t>
            </w:r>
            <w:r>
              <w:t>, грн</w:t>
            </w:r>
          </w:p>
        </w:tc>
        <w:tc>
          <w:tcPr>
            <w:tcW w:w="2410" w:type="dxa"/>
          </w:tcPr>
          <w:p w14:paraId="5B261701" w14:textId="77777777" w:rsidR="00E10DE0" w:rsidRPr="0062157F" w:rsidRDefault="00E10DE0" w:rsidP="008966CA">
            <w:pPr>
              <w:jc w:val="center"/>
            </w:pPr>
            <w:r>
              <w:t>4722,0</w:t>
            </w:r>
          </w:p>
        </w:tc>
        <w:tc>
          <w:tcPr>
            <w:tcW w:w="2410" w:type="dxa"/>
          </w:tcPr>
          <w:p w14:paraId="5F4D579B" w14:textId="77777777" w:rsidR="00E10DE0" w:rsidRPr="00B7682F" w:rsidRDefault="00E10DE0" w:rsidP="00896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4983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10DE0" w:rsidRPr="0062157F" w14:paraId="1F7D99E3" w14:textId="77777777" w:rsidTr="00E10DE0">
        <w:tc>
          <w:tcPr>
            <w:tcW w:w="9611" w:type="dxa"/>
            <w:gridSpan w:val="3"/>
          </w:tcPr>
          <w:p w14:paraId="287EB1F4" w14:textId="77777777" w:rsidR="00E10DE0" w:rsidRPr="0062157F" w:rsidRDefault="00E10DE0" w:rsidP="008966CA">
            <w:pPr>
              <w:rPr>
                <w:b/>
              </w:rPr>
            </w:pPr>
            <w:r w:rsidRPr="0062157F">
              <w:rPr>
                <w:b/>
              </w:rPr>
              <w:t>Доходи</w:t>
            </w:r>
          </w:p>
        </w:tc>
      </w:tr>
      <w:tr w:rsidR="00E10DE0" w:rsidRPr="0062157F" w14:paraId="124DE9D6" w14:textId="77777777" w:rsidTr="00E10DE0">
        <w:tc>
          <w:tcPr>
            <w:tcW w:w="4791" w:type="dxa"/>
          </w:tcPr>
          <w:p w14:paraId="30854E71" w14:textId="77777777" w:rsidR="00E10DE0" w:rsidRPr="0062157F" w:rsidRDefault="00E10DE0" w:rsidP="008966CA">
            <w:r w:rsidRPr="0062157F">
              <w:t xml:space="preserve">Дохід (виручка) від реалізації продукції (товарів, робіт, послуг) </w:t>
            </w:r>
          </w:p>
        </w:tc>
        <w:tc>
          <w:tcPr>
            <w:tcW w:w="2410" w:type="dxa"/>
          </w:tcPr>
          <w:p w14:paraId="051F08A4" w14:textId="77777777" w:rsidR="00E10DE0" w:rsidRPr="0062157F" w:rsidRDefault="00E10DE0" w:rsidP="008966CA">
            <w:pPr>
              <w:jc w:val="center"/>
            </w:pPr>
            <w:r>
              <w:t>1542,0</w:t>
            </w:r>
          </w:p>
        </w:tc>
        <w:tc>
          <w:tcPr>
            <w:tcW w:w="2410" w:type="dxa"/>
          </w:tcPr>
          <w:p w14:paraId="129B28EA" w14:textId="77777777" w:rsidR="00E10DE0" w:rsidRDefault="00E10DE0" w:rsidP="008966CA">
            <w:pPr>
              <w:jc w:val="center"/>
            </w:pPr>
            <w:r>
              <w:t>2470,0</w:t>
            </w:r>
          </w:p>
          <w:p w14:paraId="657D485C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40D673F3" w14:textId="77777777" w:rsidTr="00E10DE0">
        <w:tc>
          <w:tcPr>
            <w:tcW w:w="4791" w:type="dxa"/>
          </w:tcPr>
          <w:p w14:paraId="5210663F" w14:textId="77777777" w:rsidR="00E10DE0" w:rsidRPr="0062157F" w:rsidRDefault="00E10DE0" w:rsidP="008966CA">
            <w:r w:rsidRPr="0062157F">
              <w:t>Податок на додану вартість</w:t>
            </w:r>
          </w:p>
        </w:tc>
        <w:tc>
          <w:tcPr>
            <w:tcW w:w="2410" w:type="dxa"/>
          </w:tcPr>
          <w:p w14:paraId="5A2F5EDE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66575EA3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2FD43EF2" w14:textId="77777777" w:rsidTr="00E10DE0">
        <w:tc>
          <w:tcPr>
            <w:tcW w:w="4791" w:type="dxa"/>
          </w:tcPr>
          <w:p w14:paraId="7E2AF7DB" w14:textId="77777777" w:rsidR="00E10DE0" w:rsidRPr="0062157F" w:rsidRDefault="00E10DE0" w:rsidP="008966CA">
            <w:r w:rsidRPr="0062157F">
              <w:t>Інші непрямі податки</w:t>
            </w:r>
          </w:p>
        </w:tc>
        <w:tc>
          <w:tcPr>
            <w:tcW w:w="2410" w:type="dxa"/>
          </w:tcPr>
          <w:p w14:paraId="517390CE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59871F9A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4695C247" w14:textId="77777777" w:rsidTr="00E10DE0">
        <w:tc>
          <w:tcPr>
            <w:tcW w:w="4791" w:type="dxa"/>
          </w:tcPr>
          <w:p w14:paraId="7C7FA83F" w14:textId="77777777" w:rsidR="00E10DE0" w:rsidRPr="0062157F" w:rsidRDefault="00E10DE0" w:rsidP="008966CA">
            <w:r w:rsidRPr="0062157F">
              <w:lastRenderedPageBreak/>
              <w:t xml:space="preserve">Чистий дохід (виручка) від реалізації продукції (товарів, робіт, послуг) </w:t>
            </w:r>
          </w:p>
        </w:tc>
        <w:tc>
          <w:tcPr>
            <w:tcW w:w="2410" w:type="dxa"/>
          </w:tcPr>
          <w:p w14:paraId="48666D07" w14:textId="77777777" w:rsidR="00E10DE0" w:rsidRPr="0062157F" w:rsidRDefault="00E10DE0" w:rsidP="008966CA">
            <w:pPr>
              <w:jc w:val="center"/>
            </w:pPr>
            <w:r>
              <w:t>1542,0</w:t>
            </w:r>
          </w:p>
        </w:tc>
        <w:tc>
          <w:tcPr>
            <w:tcW w:w="2410" w:type="dxa"/>
          </w:tcPr>
          <w:p w14:paraId="1C716E00" w14:textId="77777777" w:rsidR="00E10DE0" w:rsidRPr="0062157F" w:rsidRDefault="00E10DE0" w:rsidP="008966CA">
            <w:pPr>
              <w:jc w:val="center"/>
            </w:pPr>
            <w:r>
              <w:t>2470,0</w:t>
            </w:r>
          </w:p>
        </w:tc>
      </w:tr>
      <w:tr w:rsidR="00E10DE0" w:rsidRPr="0062157F" w14:paraId="65EA386F" w14:textId="77777777" w:rsidTr="00E10DE0">
        <w:tc>
          <w:tcPr>
            <w:tcW w:w="4791" w:type="dxa"/>
          </w:tcPr>
          <w:p w14:paraId="7A4AF42F" w14:textId="77777777" w:rsidR="00E10DE0" w:rsidRPr="0062157F" w:rsidRDefault="00E10DE0" w:rsidP="008966CA">
            <w:r w:rsidRPr="0062157F">
              <w:t xml:space="preserve">Інші операційні доходи </w:t>
            </w:r>
          </w:p>
        </w:tc>
        <w:tc>
          <w:tcPr>
            <w:tcW w:w="2410" w:type="dxa"/>
          </w:tcPr>
          <w:p w14:paraId="28869979" w14:textId="77777777" w:rsidR="00E10DE0" w:rsidRPr="0062157F" w:rsidRDefault="00E10DE0" w:rsidP="008966CA">
            <w:pPr>
              <w:jc w:val="center"/>
            </w:pPr>
            <w:r>
              <w:t>743,7</w:t>
            </w:r>
          </w:p>
        </w:tc>
        <w:tc>
          <w:tcPr>
            <w:tcW w:w="2410" w:type="dxa"/>
          </w:tcPr>
          <w:p w14:paraId="4EBA8E19" w14:textId="77777777" w:rsidR="00E10DE0" w:rsidRPr="0062157F" w:rsidRDefault="00E10DE0" w:rsidP="008966CA">
            <w:pPr>
              <w:jc w:val="center"/>
            </w:pPr>
            <w:r>
              <w:t>924,8</w:t>
            </w:r>
          </w:p>
        </w:tc>
      </w:tr>
      <w:tr w:rsidR="00E10DE0" w:rsidRPr="0062157F" w14:paraId="4AB0693B" w14:textId="77777777" w:rsidTr="00E10DE0">
        <w:tc>
          <w:tcPr>
            <w:tcW w:w="4791" w:type="dxa"/>
          </w:tcPr>
          <w:p w14:paraId="6583F4FB" w14:textId="77777777" w:rsidR="00E10DE0" w:rsidRPr="0062157F" w:rsidRDefault="00E10DE0" w:rsidP="008966CA">
            <w:r w:rsidRPr="0062157F">
              <w:t xml:space="preserve">Інші фінансові доходи </w:t>
            </w:r>
          </w:p>
        </w:tc>
        <w:tc>
          <w:tcPr>
            <w:tcW w:w="2410" w:type="dxa"/>
          </w:tcPr>
          <w:p w14:paraId="125A284A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27C84FF6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180B672C" w14:textId="77777777" w:rsidTr="00E10DE0">
        <w:tc>
          <w:tcPr>
            <w:tcW w:w="4791" w:type="dxa"/>
            <w:tcBorders>
              <w:bottom w:val="single" w:sz="4" w:space="0" w:color="auto"/>
            </w:tcBorders>
          </w:tcPr>
          <w:p w14:paraId="6CC1E69B" w14:textId="77777777" w:rsidR="00E10DE0" w:rsidRPr="0062157F" w:rsidRDefault="00E10DE0" w:rsidP="008966CA">
            <w:r w:rsidRPr="0062157F">
              <w:t xml:space="preserve">Інші доходи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B8B0E8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67A3FF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61E83CDD" w14:textId="77777777" w:rsidTr="00E10DE0">
        <w:tc>
          <w:tcPr>
            <w:tcW w:w="4791" w:type="dxa"/>
            <w:shd w:val="clear" w:color="auto" w:fill="FFFF00"/>
          </w:tcPr>
          <w:p w14:paraId="0881CE71" w14:textId="77777777" w:rsidR="00E10DE0" w:rsidRPr="00ED49DD" w:rsidRDefault="00E10DE0" w:rsidP="008966CA">
            <w:pPr>
              <w:rPr>
                <w:highlight w:val="yellow"/>
              </w:rPr>
            </w:pPr>
            <w:r w:rsidRPr="00ED49DD">
              <w:rPr>
                <w:highlight w:val="yellow"/>
              </w:rPr>
              <w:t>Усього доходів, тис. грн.</w:t>
            </w:r>
          </w:p>
        </w:tc>
        <w:tc>
          <w:tcPr>
            <w:tcW w:w="2410" w:type="dxa"/>
            <w:shd w:val="clear" w:color="auto" w:fill="FFFF00"/>
          </w:tcPr>
          <w:p w14:paraId="76D97527" w14:textId="77777777" w:rsidR="00E10DE0" w:rsidRPr="00ED49DD" w:rsidRDefault="00E10DE0" w:rsidP="008966C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2285,7</w:t>
            </w:r>
          </w:p>
        </w:tc>
        <w:tc>
          <w:tcPr>
            <w:tcW w:w="2410" w:type="dxa"/>
            <w:shd w:val="clear" w:color="auto" w:fill="FFFF00"/>
          </w:tcPr>
          <w:p w14:paraId="0F704A8A" w14:textId="77777777" w:rsidR="00E10DE0" w:rsidRPr="00ED49DD" w:rsidRDefault="00E10DE0" w:rsidP="008966C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3394,8</w:t>
            </w:r>
          </w:p>
        </w:tc>
      </w:tr>
      <w:tr w:rsidR="00E10DE0" w:rsidRPr="0062157F" w14:paraId="67BE9432" w14:textId="77777777" w:rsidTr="00E10DE0">
        <w:tc>
          <w:tcPr>
            <w:tcW w:w="9611" w:type="dxa"/>
            <w:gridSpan w:val="3"/>
          </w:tcPr>
          <w:p w14:paraId="2573D4FC" w14:textId="77777777" w:rsidR="00E10DE0" w:rsidRPr="0062157F" w:rsidRDefault="00E10DE0" w:rsidP="008966CA">
            <w:r w:rsidRPr="0062157F">
              <w:rPr>
                <w:b/>
              </w:rPr>
              <w:t>Витрати</w:t>
            </w:r>
          </w:p>
        </w:tc>
      </w:tr>
      <w:tr w:rsidR="00E10DE0" w:rsidRPr="0062157F" w14:paraId="7558121F" w14:textId="77777777" w:rsidTr="00E10DE0">
        <w:tc>
          <w:tcPr>
            <w:tcW w:w="4791" w:type="dxa"/>
          </w:tcPr>
          <w:p w14:paraId="15483B67" w14:textId="77777777" w:rsidR="00E10DE0" w:rsidRPr="0062157F" w:rsidRDefault="00E10DE0" w:rsidP="008966CA">
            <w:r w:rsidRPr="0062157F">
              <w:t>Собівартість реалізованої продукції (товарів, робіт, послуг)</w:t>
            </w:r>
          </w:p>
        </w:tc>
        <w:tc>
          <w:tcPr>
            <w:tcW w:w="2410" w:type="dxa"/>
          </w:tcPr>
          <w:p w14:paraId="0F1B8DDA" w14:textId="77777777" w:rsidR="00E10DE0" w:rsidRPr="0062157F" w:rsidRDefault="00E10DE0" w:rsidP="008966CA">
            <w:pPr>
              <w:jc w:val="center"/>
            </w:pPr>
            <w:r>
              <w:t>1745,8</w:t>
            </w:r>
          </w:p>
        </w:tc>
        <w:tc>
          <w:tcPr>
            <w:tcW w:w="2410" w:type="dxa"/>
          </w:tcPr>
          <w:p w14:paraId="2F1D96D9" w14:textId="77777777" w:rsidR="00E10DE0" w:rsidRDefault="00E10DE0" w:rsidP="008966CA">
            <w:pPr>
              <w:jc w:val="center"/>
            </w:pPr>
            <w:r>
              <w:t>2158,3</w:t>
            </w:r>
          </w:p>
          <w:p w14:paraId="1D30D495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51B0C03C" w14:textId="77777777" w:rsidTr="00E10DE0">
        <w:tc>
          <w:tcPr>
            <w:tcW w:w="4791" w:type="dxa"/>
          </w:tcPr>
          <w:p w14:paraId="4EBC1FBB" w14:textId="77777777" w:rsidR="00E10DE0" w:rsidRPr="0062157F" w:rsidRDefault="00E10DE0" w:rsidP="008966CA">
            <w:r w:rsidRPr="0062157F">
              <w:t xml:space="preserve">Адміністративні витрати, у </w:t>
            </w:r>
            <w:proofErr w:type="spellStart"/>
            <w:r w:rsidRPr="0062157F">
              <w:t>т.ч</w:t>
            </w:r>
            <w:proofErr w:type="spellEnd"/>
            <w:r w:rsidRPr="0062157F">
              <w:t>.:</w:t>
            </w:r>
          </w:p>
        </w:tc>
        <w:tc>
          <w:tcPr>
            <w:tcW w:w="2410" w:type="dxa"/>
          </w:tcPr>
          <w:p w14:paraId="221A1523" w14:textId="77777777" w:rsidR="00E10DE0" w:rsidRPr="0062157F" w:rsidRDefault="00E10DE0" w:rsidP="008966CA">
            <w:pPr>
              <w:jc w:val="center"/>
            </w:pPr>
            <w:r>
              <w:t>733,9</w:t>
            </w:r>
          </w:p>
        </w:tc>
        <w:tc>
          <w:tcPr>
            <w:tcW w:w="2410" w:type="dxa"/>
          </w:tcPr>
          <w:p w14:paraId="5DA9AF23" w14:textId="77777777" w:rsidR="00E10DE0" w:rsidRPr="0062157F" w:rsidRDefault="00E10DE0" w:rsidP="008966CA">
            <w:pPr>
              <w:jc w:val="center"/>
            </w:pPr>
            <w:r>
              <w:t>785,1</w:t>
            </w:r>
          </w:p>
        </w:tc>
      </w:tr>
      <w:tr w:rsidR="00E10DE0" w:rsidRPr="0062157F" w14:paraId="14BEB179" w14:textId="77777777" w:rsidTr="00E10DE0">
        <w:tc>
          <w:tcPr>
            <w:tcW w:w="4791" w:type="dxa"/>
          </w:tcPr>
          <w:p w14:paraId="04CB9491" w14:textId="77777777" w:rsidR="00E10DE0" w:rsidRPr="00E95C91" w:rsidRDefault="00E10DE0" w:rsidP="008966CA">
            <w:r>
              <w:t>витрати, пов</w:t>
            </w:r>
            <w:r w:rsidRPr="00E95C91">
              <w:t>’</w:t>
            </w:r>
            <w:r w:rsidRPr="0062157F">
              <w:t>язані із використанням службових автомобілів</w:t>
            </w:r>
          </w:p>
        </w:tc>
        <w:tc>
          <w:tcPr>
            <w:tcW w:w="2410" w:type="dxa"/>
          </w:tcPr>
          <w:p w14:paraId="110F3F31" w14:textId="77777777" w:rsidR="00E10DE0" w:rsidRPr="0062157F" w:rsidRDefault="00E10DE0" w:rsidP="008966CA">
            <w:pPr>
              <w:jc w:val="center"/>
            </w:pPr>
            <w:r>
              <w:t>23,7</w:t>
            </w:r>
          </w:p>
        </w:tc>
        <w:tc>
          <w:tcPr>
            <w:tcW w:w="2410" w:type="dxa"/>
          </w:tcPr>
          <w:p w14:paraId="10F7FD57" w14:textId="77777777" w:rsidR="00E10DE0" w:rsidRPr="0062157F" w:rsidRDefault="00E10DE0" w:rsidP="008966CA">
            <w:pPr>
              <w:jc w:val="center"/>
            </w:pPr>
            <w:r>
              <w:t>30,8</w:t>
            </w:r>
          </w:p>
        </w:tc>
      </w:tr>
      <w:tr w:rsidR="00E10DE0" w:rsidRPr="0062157F" w14:paraId="796F18CC" w14:textId="77777777" w:rsidTr="00E10DE0">
        <w:tc>
          <w:tcPr>
            <w:tcW w:w="4791" w:type="dxa"/>
          </w:tcPr>
          <w:p w14:paraId="72AB31A4" w14:textId="77777777" w:rsidR="00E10DE0" w:rsidRPr="0062157F" w:rsidRDefault="00E10DE0" w:rsidP="008966CA">
            <w:r w:rsidRPr="0062157F">
              <w:t xml:space="preserve">витрати на консалтингові послуги </w:t>
            </w:r>
          </w:p>
        </w:tc>
        <w:tc>
          <w:tcPr>
            <w:tcW w:w="2410" w:type="dxa"/>
          </w:tcPr>
          <w:p w14:paraId="2C9C53BF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044580E9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4C350DB3" w14:textId="77777777" w:rsidTr="00E10DE0">
        <w:tc>
          <w:tcPr>
            <w:tcW w:w="4791" w:type="dxa"/>
          </w:tcPr>
          <w:p w14:paraId="3617461E" w14:textId="77777777" w:rsidR="00E10DE0" w:rsidRPr="0062157F" w:rsidRDefault="00E10DE0" w:rsidP="008966CA">
            <w:r w:rsidRPr="0062157F">
              <w:t>витрати на страхові послуги</w:t>
            </w:r>
          </w:p>
        </w:tc>
        <w:tc>
          <w:tcPr>
            <w:tcW w:w="2410" w:type="dxa"/>
          </w:tcPr>
          <w:p w14:paraId="35E9B80D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6246ABAE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016EE26F" w14:textId="77777777" w:rsidTr="00E10DE0">
        <w:tc>
          <w:tcPr>
            <w:tcW w:w="4791" w:type="dxa"/>
          </w:tcPr>
          <w:p w14:paraId="2A5B5D8D" w14:textId="77777777" w:rsidR="00E10DE0" w:rsidRPr="0062157F" w:rsidRDefault="00E10DE0" w:rsidP="008966CA">
            <w:r w:rsidRPr="0062157F">
              <w:t>витрати на аудиторські послуги</w:t>
            </w:r>
          </w:p>
        </w:tc>
        <w:tc>
          <w:tcPr>
            <w:tcW w:w="2410" w:type="dxa"/>
          </w:tcPr>
          <w:p w14:paraId="0E20B5AE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17E68451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7ACC4C43" w14:textId="77777777" w:rsidTr="00E10DE0">
        <w:tc>
          <w:tcPr>
            <w:tcW w:w="4791" w:type="dxa"/>
          </w:tcPr>
          <w:p w14:paraId="15F168FC" w14:textId="77777777" w:rsidR="00E10DE0" w:rsidRPr="0062157F" w:rsidRDefault="00E10DE0" w:rsidP="008966CA">
            <w:r w:rsidRPr="0062157F">
              <w:t xml:space="preserve">інші адміністративні витрати </w:t>
            </w:r>
          </w:p>
        </w:tc>
        <w:tc>
          <w:tcPr>
            <w:tcW w:w="2410" w:type="dxa"/>
          </w:tcPr>
          <w:p w14:paraId="695548EA" w14:textId="77777777" w:rsidR="00E10DE0" w:rsidRPr="0062157F" w:rsidRDefault="00E10DE0" w:rsidP="008966CA">
            <w:pPr>
              <w:jc w:val="center"/>
            </w:pPr>
            <w:r>
              <w:t>66,5</w:t>
            </w:r>
          </w:p>
        </w:tc>
        <w:tc>
          <w:tcPr>
            <w:tcW w:w="2410" w:type="dxa"/>
          </w:tcPr>
          <w:p w14:paraId="07DB1549" w14:textId="77777777" w:rsidR="00E10DE0" w:rsidRPr="0062157F" w:rsidRDefault="00E10DE0" w:rsidP="008966CA">
            <w:pPr>
              <w:jc w:val="center"/>
            </w:pPr>
            <w:r>
              <w:t>88,0</w:t>
            </w:r>
          </w:p>
        </w:tc>
      </w:tr>
      <w:tr w:rsidR="00E10DE0" w:rsidRPr="0062157F" w14:paraId="09734091" w14:textId="77777777" w:rsidTr="00E10DE0">
        <w:tc>
          <w:tcPr>
            <w:tcW w:w="4791" w:type="dxa"/>
          </w:tcPr>
          <w:p w14:paraId="0A968FC4" w14:textId="77777777" w:rsidR="00E10DE0" w:rsidRPr="0062157F" w:rsidRDefault="00E10DE0" w:rsidP="008966CA">
            <w:r w:rsidRPr="0062157F">
              <w:t xml:space="preserve">Витрати на збут </w:t>
            </w:r>
          </w:p>
        </w:tc>
        <w:tc>
          <w:tcPr>
            <w:tcW w:w="2410" w:type="dxa"/>
          </w:tcPr>
          <w:p w14:paraId="4D161B8F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642C101E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16A82358" w14:textId="77777777" w:rsidTr="00E10DE0">
        <w:tc>
          <w:tcPr>
            <w:tcW w:w="4791" w:type="dxa"/>
          </w:tcPr>
          <w:p w14:paraId="2580C335" w14:textId="77777777" w:rsidR="00E10DE0" w:rsidRPr="0062157F" w:rsidRDefault="00E10DE0" w:rsidP="008966CA">
            <w:r w:rsidRPr="0062157F">
              <w:t xml:space="preserve">Інші операційні витрати </w:t>
            </w:r>
          </w:p>
        </w:tc>
        <w:tc>
          <w:tcPr>
            <w:tcW w:w="2410" w:type="dxa"/>
          </w:tcPr>
          <w:p w14:paraId="57CD9B80" w14:textId="77777777" w:rsidR="00E10DE0" w:rsidRPr="0062157F" w:rsidRDefault="00E10DE0" w:rsidP="008966CA">
            <w:pPr>
              <w:jc w:val="center"/>
            </w:pPr>
            <w:r>
              <w:t>531,2</w:t>
            </w:r>
          </w:p>
        </w:tc>
        <w:tc>
          <w:tcPr>
            <w:tcW w:w="2410" w:type="dxa"/>
          </w:tcPr>
          <w:p w14:paraId="05D34FC6" w14:textId="77777777" w:rsidR="00E10DE0" w:rsidRPr="0062157F" w:rsidRDefault="00E10DE0" w:rsidP="008966CA">
            <w:pPr>
              <w:jc w:val="center"/>
            </w:pPr>
            <w:r>
              <w:t>451,0</w:t>
            </w:r>
          </w:p>
        </w:tc>
      </w:tr>
      <w:tr w:rsidR="00E10DE0" w:rsidRPr="0062157F" w14:paraId="59F14EFF" w14:textId="77777777" w:rsidTr="00E10DE0">
        <w:tc>
          <w:tcPr>
            <w:tcW w:w="4791" w:type="dxa"/>
          </w:tcPr>
          <w:p w14:paraId="4B60943A" w14:textId="77777777" w:rsidR="00E10DE0" w:rsidRPr="0062157F" w:rsidRDefault="00E10DE0" w:rsidP="008966CA">
            <w:r w:rsidRPr="0062157F">
              <w:t>Фінансові витрати</w:t>
            </w:r>
          </w:p>
        </w:tc>
        <w:tc>
          <w:tcPr>
            <w:tcW w:w="2410" w:type="dxa"/>
          </w:tcPr>
          <w:p w14:paraId="532343D2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0AEDA576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7D70F623" w14:textId="77777777" w:rsidTr="00E10DE0">
        <w:tc>
          <w:tcPr>
            <w:tcW w:w="4791" w:type="dxa"/>
          </w:tcPr>
          <w:p w14:paraId="19707025" w14:textId="77777777" w:rsidR="00E10DE0" w:rsidRPr="0062157F" w:rsidRDefault="00E10DE0" w:rsidP="008966CA">
            <w:r w:rsidRPr="0062157F">
              <w:t xml:space="preserve">Інші витрати </w:t>
            </w:r>
          </w:p>
        </w:tc>
        <w:tc>
          <w:tcPr>
            <w:tcW w:w="2410" w:type="dxa"/>
          </w:tcPr>
          <w:p w14:paraId="098AF750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</w:tcPr>
          <w:p w14:paraId="333E708F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39B13E5E" w14:textId="77777777" w:rsidTr="00E10DE0">
        <w:tc>
          <w:tcPr>
            <w:tcW w:w="4791" w:type="dxa"/>
            <w:tcBorders>
              <w:bottom w:val="single" w:sz="4" w:space="0" w:color="auto"/>
            </w:tcBorders>
          </w:tcPr>
          <w:p w14:paraId="719F94E6" w14:textId="77777777" w:rsidR="00E10DE0" w:rsidRPr="0062157F" w:rsidRDefault="00E10DE0" w:rsidP="008966CA">
            <w:r w:rsidRPr="0062157F">
              <w:t>Податок на прибуток від звичайної діяльності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2022E2" w14:textId="77777777" w:rsidR="00E10DE0" w:rsidRPr="0062157F" w:rsidRDefault="00E10DE0" w:rsidP="008966CA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E6FE28" w14:textId="77777777" w:rsidR="00E10DE0" w:rsidRPr="0062157F" w:rsidRDefault="00E10DE0" w:rsidP="008966CA">
            <w:pPr>
              <w:jc w:val="center"/>
            </w:pPr>
          </w:p>
        </w:tc>
      </w:tr>
      <w:tr w:rsidR="00E10DE0" w:rsidRPr="0062157F" w14:paraId="75662E38" w14:textId="77777777" w:rsidTr="00E10DE0">
        <w:tc>
          <w:tcPr>
            <w:tcW w:w="4791" w:type="dxa"/>
            <w:shd w:val="clear" w:color="auto" w:fill="FFFF00"/>
          </w:tcPr>
          <w:p w14:paraId="5FB25D1C" w14:textId="77777777" w:rsidR="00E10DE0" w:rsidRPr="0062157F" w:rsidRDefault="00E10DE0" w:rsidP="008966CA">
            <w:r w:rsidRPr="0062157F">
              <w:t>Усього витрати, тис. грн.</w:t>
            </w:r>
          </w:p>
        </w:tc>
        <w:tc>
          <w:tcPr>
            <w:tcW w:w="2410" w:type="dxa"/>
            <w:shd w:val="clear" w:color="auto" w:fill="FFFF00"/>
          </w:tcPr>
          <w:p w14:paraId="58AAE784" w14:textId="77777777" w:rsidR="00E10DE0" w:rsidRPr="0062157F" w:rsidRDefault="00E10DE0" w:rsidP="008966CA">
            <w:pPr>
              <w:jc w:val="center"/>
            </w:pPr>
            <w:r>
              <w:t>3101,1</w:t>
            </w:r>
          </w:p>
        </w:tc>
        <w:tc>
          <w:tcPr>
            <w:tcW w:w="2410" w:type="dxa"/>
            <w:shd w:val="clear" w:color="auto" w:fill="FFFF00"/>
          </w:tcPr>
          <w:p w14:paraId="2F80A5D2" w14:textId="77777777" w:rsidR="00E10DE0" w:rsidRPr="0062157F" w:rsidRDefault="00E10DE0" w:rsidP="008966CA">
            <w:pPr>
              <w:jc w:val="center"/>
            </w:pPr>
            <w:r>
              <w:t>3394,40</w:t>
            </w:r>
          </w:p>
        </w:tc>
      </w:tr>
      <w:tr w:rsidR="00E10DE0" w:rsidRPr="0062157F" w14:paraId="0E90375E" w14:textId="77777777" w:rsidTr="00E10DE0">
        <w:tc>
          <w:tcPr>
            <w:tcW w:w="9611" w:type="dxa"/>
            <w:gridSpan w:val="3"/>
          </w:tcPr>
          <w:p w14:paraId="6C081EBD" w14:textId="77777777" w:rsidR="00E10DE0" w:rsidRPr="0062157F" w:rsidRDefault="00E10DE0" w:rsidP="008966CA">
            <w:pPr>
              <w:rPr>
                <w:b/>
              </w:rPr>
            </w:pPr>
            <w:r w:rsidRPr="0062157F">
              <w:rPr>
                <w:b/>
              </w:rPr>
              <w:t>Фінансові результати діяльності:</w:t>
            </w:r>
          </w:p>
        </w:tc>
      </w:tr>
      <w:tr w:rsidR="00E10DE0" w:rsidRPr="0062157F" w14:paraId="4BCF22F2" w14:textId="77777777" w:rsidTr="00E10DE0">
        <w:tc>
          <w:tcPr>
            <w:tcW w:w="4791" w:type="dxa"/>
          </w:tcPr>
          <w:p w14:paraId="4DA8CA9E" w14:textId="77777777" w:rsidR="00E10DE0" w:rsidRPr="0062157F" w:rsidRDefault="00E10DE0" w:rsidP="008966CA">
            <w:r w:rsidRPr="0062157F">
              <w:t>Валовий прибуток (збиток)</w:t>
            </w:r>
          </w:p>
        </w:tc>
        <w:tc>
          <w:tcPr>
            <w:tcW w:w="2410" w:type="dxa"/>
          </w:tcPr>
          <w:p w14:paraId="5F71F573" w14:textId="77777777" w:rsidR="00E10DE0" w:rsidRPr="0062157F" w:rsidRDefault="00E10DE0" w:rsidP="008966CA">
            <w:pPr>
              <w:jc w:val="center"/>
            </w:pPr>
            <w:r>
              <w:t>-203,8</w:t>
            </w:r>
          </w:p>
        </w:tc>
        <w:tc>
          <w:tcPr>
            <w:tcW w:w="2410" w:type="dxa"/>
          </w:tcPr>
          <w:p w14:paraId="31E225C1" w14:textId="77777777" w:rsidR="00E10DE0" w:rsidRPr="0062157F" w:rsidRDefault="00E10DE0" w:rsidP="008966CA">
            <w:pPr>
              <w:jc w:val="center"/>
            </w:pPr>
            <w:r>
              <w:t>311,7</w:t>
            </w:r>
          </w:p>
        </w:tc>
      </w:tr>
      <w:tr w:rsidR="00E10DE0" w:rsidRPr="0062157F" w14:paraId="325BB861" w14:textId="77777777" w:rsidTr="00E10DE0">
        <w:tc>
          <w:tcPr>
            <w:tcW w:w="4791" w:type="dxa"/>
          </w:tcPr>
          <w:p w14:paraId="647C82D7" w14:textId="77777777" w:rsidR="00E10DE0" w:rsidRPr="0062157F" w:rsidRDefault="00E10DE0" w:rsidP="008966CA">
            <w:r w:rsidRPr="0062157F">
              <w:t>Фінансовий результат від операційної діяльності</w:t>
            </w:r>
          </w:p>
        </w:tc>
        <w:tc>
          <w:tcPr>
            <w:tcW w:w="2410" w:type="dxa"/>
          </w:tcPr>
          <w:p w14:paraId="17B465A6" w14:textId="77777777" w:rsidR="00E10DE0" w:rsidRPr="0062157F" w:rsidRDefault="00E10DE0" w:rsidP="008966CA">
            <w:pPr>
              <w:jc w:val="center"/>
            </w:pPr>
            <w:r>
              <w:t>-815,4</w:t>
            </w:r>
          </w:p>
        </w:tc>
        <w:tc>
          <w:tcPr>
            <w:tcW w:w="2410" w:type="dxa"/>
          </w:tcPr>
          <w:p w14:paraId="7EAC4839" w14:textId="77777777" w:rsidR="00E10DE0" w:rsidRPr="0062157F" w:rsidRDefault="00E10DE0" w:rsidP="008966CA">
            <w:pPr>
              <w:jc w:val="center"/>
            </w:pPr>
            <w:r>
              <w:t>0,4</w:t>
            </w:r>
          </w:p>
        </w:tc>
      </w:tr>
      <w:tr w:rsidR="00E10DE0" w:rsidRPr="0062157F" w14:paraId="2FAA87DC" w14:textId="77777777" w:rsidTr="00E10DE0">
        <w:tc>
          <w:tcPr>
            <w:tcW w:w="4791" w:type="dxa"/>
          </w:tcPr>
          <w:p w14:paraId="03BD3CE1" w14:textId="77777777" w:rsidR="00E10DE0" w:rsidRPr="0062157F" w:rsidRDefault="00E10DE0" w:rsidP="008966CA">
            <w:r w:rsidRPr="0062157F">
              <w:t>Фінансовий результат від звичайної діяльності</w:t>
            </w:r>
          </w:p>
        </w:tc>
        <w:tc>
          <w:tcPr>
            <w:tcW w:w="2410" w:type="dxa"/>
          </w:tcPr>
          <w:p w14:paraId="0DD53CD6" w14:textId="77777777" w:rsidR="00E10DE0" w:rsidRPr="0062157F" w:rsidRDefault="00E10DE0" w:rsidP="008966CA">
            <w:pPr>
              <w:jc w:val="center"/>
            </w:pPr>
            <w:r>
              <w:t>-815,4</w:t>
            </w:r>
          </w:p>
        </w:tc>
        <w:tc>
          <w:tcPr>
            <w:tcW w:w="2410" w:type="dxa"/>
          </w:tcPr>
          <w:p w14:paraId="488BA0F4" w14:textId="77777777" w:rsidR="00E10DE0" w:rsidRPr="0062157F" w:rsidRDefault="00E10DE0" w:rsidP="008966CA">
            <w:pPr>
              <w:jc w:val="center"/>
            </w:pPr>
            <w:r>
              <w:t>0,4</w:t>
            </w:r>
          </w:p>
        </w:tc>
      </w:tr>
      <w:tr w:rsidR="00E10DE0" w:rsidRPr="0062157F" w14:paraId="55296833" w14:textId="77777777" w:rsidTr="00E10DE0">
        <w:tc>
          <w:tcPr>
            <w:tcW w:w="4791" w:type="dxa"/>
          </w:tcPr>
          <w:p w14:paraId="3C2AC6E2" w14:textId="77777777" w:rsidR="00E10DE0" w:rsidRPr="0062157F" w:rsidRDefault="00E10DE0" w:rsidP="008966CA">
            <w:r w:rsidRPr="0062157F">
              <w:t>Чистий прибуток (збиток)</w:t>
            </w:r>
          </w:p>
        </w:tc>
        <w:tc>
          <w:tcPr>
            <w:tcW w:w="2410" w:type="dxa"/>
          </w:tcPr>
          <w:p w14:paraId="501C9C46" w14:textId="77777777" w:rsidR="00E10DE0" w:rsidRPr="0062157F" w:rsidRDefault="00E10DE0" w:rsidP="008966CA">
            <w:pPr>
              <w:jc w:val="center"/>
            </w:pPr>
            <w:r>
              <w:t>-815,4</w:t>
            </w:r>
          </w:p>
        </w:tc>
        <w:tc>
          <w:tcPr>
            <w:tcW w:w="2410" w:type="dxa"/>
          </w:tcPr>
          <w:p w14:paraId="74A410E7" w14:textId="77777777" w:rsidR="00E10DE0" w:rsidRPr="0062157F" w:rsidRDefault="00E10DE0" w:rsidP="008966CA">
            <w:pPr>
              <w:jc w:val="center"/>
            </w:pPr>
            <w:r>
              <w:t>0,4</w:t>
            </w:r>
          </w:p>
        </w:tc>
      </w:tr>
    </w:tbl>
    <w:p w14:paraId="714DD6CA" w14:textId="77777777" w:rsidR="00E10DE0" w:rsidRPr="00864E86" w:rsidRDefault="00E10DE0" w:rsidP="000C7B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E78950" w14:textId="5A6EE832" w:rsidR="000E2D57" w:rsidRPr="00864E86" w:rsidRDefault="000C7B8E" w:rsidP="000C7B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E86">
        <w:rPr>
          <w:rFonts w:ascii="Times New Roman" w:hAnsi="Times New Roman" w:cs="Times New Roman"/>
          <w:sz w:val="26"/>
          <w:szCs w:val="26"/>
        </w:rPr>
        <w:t>У відповідності до п. 3.1. статуту</w:t>
      </w:r>
      <w:r w:rsidR="004515ED" w:rsidRPr="00864E86">
        <w:rPr>
          <w:rFonts w:ascii="Times New Roman" w:hAnsi="Times New Roman" w:cs="Times New Roman"/>
          <w:sz w:val="26"/>
          <w:szCs w:val="26"/>
        </w:rPr>
        <w:t xml:space="preserve">  </w:t>
      </w:r>
      <w:r w:rsidRPr="00864E86">
        <w:rPr>
          <w:rFonts w:ascii="Times New Roman" w:hAnsi="Times New Roman" w:cs="Times New Roman"/>
          <w:sz w:val="26"/>
          <w:szCs w:val="26"/>
        </w:rPr>
        <w:t xml:space="preserve">майно підприємства перебуває у комунальній власності територіальної громади міста біла Церква і закріплюється за </w:t>
      </w:r>
      <w:r w:rsidR="00EF2ACD" w:rsidRPr="00864E86">
        <w:rPr>
          <w:rFonts w:ascii="Times New Roman" w:hAnsi="Times New Roman" w:cs="Times New Roman"/>
          <w:sz w:val="26"/>
          <w:szCs w:val="26"/>
        </w:rPr>
        <w:t xml:space="preserve">КП БМР «Підприємство готельного господарства» </w:t>
      </w:r>
      <w:r w:rsidRPr="00864E86">
        <w:rPr>
          <w:rFonts w:ascii="Times New Roman" w:hAnsi="Times New Roman" w:cs="Times New Roman"/>
          <w:sz w:val="26"/>
          <w:szCs w:val="26"/>
        </w:rPr>
        <w:t xml:space="preserve"> на праві господарського відання. </w:t>
      </w:r>
    </w:p>
    <w:p w14:paraId="20DAF3C1" w14:textId="74219266" w:rsidR="00812B13" w:rsidRPr="00864E86" w:rsidRDefault="000C7B8E" w:rsidP="000C7B8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E86">
        <w:rPr>
          <w:rFonts w:ascii="Times New Roman" w:hAnsi="Times New Roman" w:cs="Times New Roman"/>
          <w:sz w:val="26"/>
          <w:szCs w:val="26"/>
        </w:rPr>
        <w:t xml:space="preserve">До нерухомого майна, що перебуває на балансі </w:t>
      </w:r>
      <w:r w:rsidR="000E2D57" w:rsidRPr="00864E86">
        <w:rPr>
          <w:rFonts w:ascii="Times New Roman" w:hAnsi="Times New Roman" w:cs="Times New Roman"/>
          <w:sz w:val="26"/>
          <w:szCs w:val="26"/>
        </w:rPr>
        <w:t>готельного господарства належать:</w:t>
      </w:r>
    </w:p>
    <w:p w14:paraId="3F7D70DE" w14:textId="11196475" w:rsidR="000E2D57" w:rsidRPr="00864E86" w:rsidRDefault="000E2D57" w:rsidP="000E2D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4E86">
        <w:rPr>
          <w:rFonts w:ascii="Times New Roman" w:hAnsi="Times New Roman" w:cs="Times New Roman"/>
          <w:sz w:val="26"/>
          <w:szCs w:val="26"/>
        </w:rPr>
        <w:t>приміщення готелю та автостоянка, відсоток використання яких для потреб основної статутної діяльності становить 100%;</w:t>
      </w:r>
    </w:p>
    <w:p w14:paraId="162F893D" w14:textId="466B775B" w:rsidR="000E2D57" w:rsidRPr="00864E86" w:rsidRDefault="000E2D57" w:rsidP="000E2D5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4E86">
        <w:rPr>
          <w:rFonts w:ascii="Times New Roman" w:hAnsi="Times New Roman" w:cs="Times New Roman"/>
          <w:sz w:val="26"/>
          <w:szCs w:val="26"/>
        </w:rPr>
        <w:t xml:space="preserve">приміщення ресторану та банно-оздоровчий комплекс, що </w:t>
      </w:r>
      <w:r w:rsidR="00EF2ACD">
        <w:rPr>
          <w:rFonts w:ascii="Times New Roman" w:hAnsi="Times New Roman" w:cs="Times New Roman"/>
          <w:sz w:val="26"/>
          <w:szCs w:val="26"/>
        </w:rPr>
        <w:t xml:space="preserve">зовсім </w:t>
      </w:r>
      <w:r w:rsidRPr="00864E86">
        <w:rPr>
          <w:rFonts w:ascii="Times New Roman" w:hAnsi="Times New Roman" w:cs="Times New Roman"/>
          <w:sz w:val="26"/>
          <w:szCs w:val="26"/>
        </w:rPr>
        <w:t>не використовуються в основній діяльності підприємства.</w:t>
      </w:r>
    </w:p>
    <w:p w14:paraId="585665BB" w14:textId="33504E48" w:rsidR="000E2D57" w:rsidRPr="00864E86" w:rsidRDefault="00864E86" w:rsidP="000E2D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Окрім цього, у</w:t>
      </w:r>
      <w:r w:rsidR="000E2D57" w:rsidRPr="00864E86">
        <w:rPr>
          <w:rFonts w:ascii="Times New Roman" w:hAnsi="Times New Roman" w:cs="Times New Roman"/>
          <w:sz w:val="26"/>
          <w:szCs w:val="26"/>
        </w:rPr>
        <w:t xml:space="preserve"> господарському віданні підприємств</w:t>
      </w:r>
      <w:r w:rsidR="00571320" w:rsidRPr="00864E86">
        <w:rPr>
          <w:rFonts w:ascii="Times New Roman" w:hAnsi="Times New Roman" w:cs="Times New Roman"/>
          <w:sz w:val="26"/>
          <w:szCs w:val="26"/>
        </w:rPr>
        <w:t>а</w:t>
      </w:r>
      <w:r w:rsidR="000E2D57" w:rsidRPr="00864E86">
        <w:rPr>
          <w:rFonts w:ascii="Times New Roman" w:hAnsi="Times New Roman" w:cs="Times New Roman"/>
          <w:sz w:val="26"/>
          <w:szCs w:val="26"/>
        </w:rPr>
        <w:t xml:space="preserve"> наявний єдиний транспортний засіб м</w:t>
      </w:r>
      <w:r w:rsidR="00571320" w:rsidRPr="00864E86">
        <w:rPr>
          <w:rFonts w:ascii="Times New Roman" w:hAnsi="Times New Roman" w:cs="Times New Roman"/>
          <w:sz w:val="26"/>
          <w:szCs w:val="26"/>
        </w:rPr>
        <w:t>арки</w:t>
      </w:r>
      <w:r w:rsidR="000E2D57" w:rsidRPr="00864E86">
        <w:rPr>
          <w:rFonts w:ascii="Times New Roman" w:hAnsi="Times New Roman" w:cs="Times New Roman"/>
          <w:sz w:val="26"/>
          <w:szCs w:val="26"/>
        </w:rPr>
        <w:t xml:space="preserve"> ВАЗ </w:t>
      </w:r>
      <w:r w:rsidR="00571320" w:rsidRPr="00864E86">
        <w:rPr>
          <w:rFonts w:ascii="Times New Roman" w:hAnsi="Times New Roman" w:cs="Times New Roman"/>
          <w:sz w:val="26"/>
          <w:szCs w:val="26"/>
        </w:rPr>
        <w:t xml:space="preserve">моделі </w:t>
      </w:r>
      <w:r w:rsidR="000E2D57" w:rsidRPr="00864E86">
        <w:rPr>
          <w:rFonts w:ascii="Times New Roman" w:hAnsi="Times New Roman" w:cs="Times New Roman"/>
          <w:sz w:val="26"/>
          <w:szCs w:val="26"/>
        </w:rPr>
        <w:t>21</w:t>
      </w:r>
      <w:r w:rsidR="00571320" w:rsidRPr="00864E86">
        <w:rPr>
          <w:rFonts w:ascii="Times New Roman" w:hAnsi="Times New Roman" w:cs="Times New Roman"/>
          <w:sz w:val="26"/>
          <w:szCs w:val="26"/>
        </w:rPr>
        <w:t>04-110</w:t>
      </w:r>
      <w:r w:rsidR="008377D0" w:rsidRPr="00864E86">
        <w:rPr>
          <w:rFonts w:ascii="Times New Roman" w:hAnsi="Times New Roman" w:cs="Times New Roman"/>
          <w:sz w:val="26"/>
          <w:szCs w:val="26"/>
        </w:rPr>
        <w:t>-01</w:t>
      </w:r>
      <w:r w:rsidR="000E2D57" w:rsidRPr="00864E86">
        <w:rPr>
          <w:rFonts w:ascii="Times New Roman" w:hAnsi="Times New Roman" w:cs="Times New Roman"/>
          <w:sz w:val="26"/>
          <w:szCs w:val="26"/>
        </w:rPr>
        <w:t xml:space="preserve">, </w:t>
      </w:r>
      <w:r w:rsidR="00571320" w:rsidRPr="00864E86">
        <w:rPr>
          <w:rFonts w:ascii="Times New Roman" w:hAnsi="Times New Roman" w:cs="Times New Roman"/>
          <w:sz w:val="26"/>
          <w:szCs w:val="26"/>
        </w:rPr>
        <w:t>2005</w:t>
      </w:r>
      <w:r w:rsidR="000E2D57" w:rsidRPr="00864E86">
        <w:rPr>
          <w:rFonts w:ascii="Times New Roman" w:hAnsi="Times New Roman" w:cs="Times New Roman"/>
          <w:sz w:val="26"/>
          <w:szCs w:val="26"/>
        </w:rPr>
        <w:t xml:space="preserve"> року випуску, державний номерний знак</w:t>
      </w:r>
      <w:r w:rsidR="008377D0" w:rsidRPr="00864E86">
        <w:rPr>
          <w:rFonts w:ascii="Times New Roman" w:hAnsi="Times New Roman" w:cs="Times New Roman"/>
          <w:sz w:val="26"/>
          <w:szCs w:val="26"/>
        </w:rPr>
        <w:t xml:space="preserve"> АІ 0204 АС</w:t>
      </w:r>
      <w:r w:rsidR="000E2D57" w:rsidRPr="00864E86">
        <w:rPr>
          <w:rFonts w:ascii="Times New Roman" w:hAnsi="Times New Roman" w:cs="Times New Roman"/>
          <w:sz w:val="26"/>
          <w:szCs w:val="26"/>
        </w:rPr>
        <w:t>, що використову</w:t>
      </w:r>
      <w:r w:rsidR="00571320" w:rsidRPr="00864E86">
        <w:rPr>
          <w:rFonts w:ascii="Times New Roman" w:hAnsi="Times New Roman" w:cs="Times New Roman"/>
          <w:sz w:val="26"/>
          <w:szCs w:val="26"/>
        </w:rPr>
        <w:t xml:space="preserve">ється на постійній основі та </w:t>
      </w:r>
      <w:r w:rsidR="000E2D57" w:rsidRPr="00864E86">
        <w:rPr>
          <w:rFonts w:ascii="Times New Roman" w:hAnsi="Times New Roman" w:cs="Times New Roman"/>
          <w:sz w:val="26"/>
          <w:szCs w:val="26"/>
        </w:rPr>
        <w:t>технічний стан якого є задовільним</w:t>
      </w:r>
      <w:r w:rsidR="00571320" w:rsidRPr="00864E86">
        <w:rPr>
          <w:rFonts w:ascii="Times New Roman" w:hAnsi="Times New Roman" w:cs="Times New Roman"/>
          <w:sz w:val="26"/>
          <w:szCs w:val="26"/>
        </w:rPr>
        <w:t>.</w:t>
      </w:r>
    </w:p>
    <w:p w14:paraId="66B93A21" w14:textId="5CCDDA3D" w:rsidR="00571320" w:rsidRPr="00864E86" w:rsidRDefault="00571320" w:rsidP="000E2D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4E86">
        <w:rPr>
          <w:rFonts w:ascii="Times New Roman" w:hAnsi="Times New Roman" w:cs="Times New Roman"/>
          <w:sz w:val="26"/>
          <w:szCs w:val="26"/>
        </w:rPr>
        <w:t>Доводимо до Вашого відо</w:t>
      </w:r>
      <w:r w:rsidR="008377D0" w:rsidRPr="00864E86">
        <w:rPr>
          <w:rFonts w:ascii="Times New Roman" w:hAnsi="Times New Roman" w:cs="Times New Roman"/>
          <w:sz w:val="26"/>
          <w:szCs w:val="26"/>
        </w:rPr>
        <w:t>ма, що співвідношення розрахункової завантаженості підприємства та фактичної завантаженості з урахуванням даних за перший звітний квартал 2021 року можна відобразити наступний чином</w:t>
      </w:r>
      <w:r w:rsidR="00673BA6" w:rsidRPr="00864E8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9"/>
        <w:gridCol w:w="3307"/>
        <w:gridCol w:w="3113"/>
      </w:tblGrid>
      <w:tr w:rsidR="008377D0" w:rsidRPr="00864E86" w14:paraId="004A3A69" w14:textId="77777777" w:rsidTr="008377D0">
        <w:tc>
          <w:tcPr>
            <w:tcW w:w="3209" w:type="dxa"/>
          </w:tcPr>
          <w:p w14:paraId="79BAA8C0" w14:textId="6CA0B429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 xml:space="preserve">Звітний місяць </w:t>
            </w:r>
          </w:p>
        </w:tc>
        <w:tc>
          <w:tcPr>
            <w:tcW w:w="3307" w:type="dxa"/>
          </w:tcPr>
          <w:p w14:paraId="4183A84A" w14:textId="77777777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Розрахункова завантаженість</w:t>
            </w:r>
          </w:p>
          <w:p w14:paraId="08E8CBEF" w14:textId="4D9A6418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(ліжко</w:t>
            </w:r>
            <w:r w:rsidR="00864E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r w:rsidRPr="00864E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доба)</w:t>
            </w:r>
          </w:p>
        </w:tc>
        <w:tc>
          <w:tcPr>
            <w:tcW w:w="3113" w:type="dxa"/>
          </w:tcPr>
          <w:p w14:paraId="79F2F7CB" w14:textId="77777777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Фактична завантаженість</w:t>
            </w:r>
          </w:p>
          <w:p w14:paraId="65E43ECD" w14:textId="6664D582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(ліжко</w:t>
            </w:r>
            <w:r w:rsidR="00864E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/</w:t>
            </w:r>
            <w:r w:rsidRPr="00864E8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доба)</w:t>
            </w:r>
          </w:p>
        </w:tc>
      </w:tr>
      <w:tr w:rsidR="008377D0" w:rsidRPr="00864E86" w14:paraId="271BFABF" w14:textId="77777777" w:rsidTr="008377D0">
        <w:tc>
          <w:tcPr>
            <w:tcW w:w="3209" w:type="dxa"/>
          </w:tcPr>
          <w:p w14:paraId="01FCAECE" w14:textId="4951BD76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Січень 2021</w:t>
            </w:r>
          </w:p>
        </w:tc>
        <w:tc>
          <w:tcPr>
            <w:tcW w:w="3307" w:type="dxa"/>
          </w:tcPr>
          <w:p w14:paraId="55CAB7D4" w14:textId="06C82614" w:rsidR="008377D0" w:rsidRPr="00864E86" w:rsidRDefault="006B5A5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7347</w:t>
            </w:r>
          </w:p>
        </w:tc>
        <w:tc>
          <w:tcPr>
            <w:tcW w:w="3113" w:type="dxa"/>
          </w:tcPr>
          <w:p w14:paraId="5CFB1330" w14:textId="53CA09DB" w:rsidR="008377D0" w:rsidRPr="00864E86" w:rsidRDefault="0000252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</w:tr>
      <w:tr w:rsidR="008377D0" w:rsidRPr="00864E86" w14:paraId="63F8497B" w14:textId="77777777" w:rsidTr="008377D0">
        <w:tc>
          <w:tcPr>
            <w:tcW w:w="3209" w:type="dxa"/>
          </w:tcPr>
          <w:p w14:paraId="4E047C2D" w14:textId="539F3914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Лютий 2021</w:t>
            </w:r>
          </w:p>
        </w:tc>
        <w:tc>
          <w:tcPr>
            <w:tcW w:w="3307" w:type="dxa"/>
          </w:tcPr>
          <w:p w14:paraId="1D1CA0D1" w14:textId="6AA023EB" w:rsidR="008377D0" w:rsidRPr="00864E86" w:rsidRDefault="006B5A5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6637</w:t>
            </w:r>
          </w:p>
        </w:tc>
        <w:tc>
          <w:tcPr>
            <w:tcW w:w="3113" w:type="dxa"/>
          </w:tcPr>
          <w:p w14:paraId="6E523CED" w14:textId="0C57E1E5" w:rsidR="008377D0" w:rsidRPr="00864E86" w:rsidRDefault="0000252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</w:tr>
      <w:tr w:rsidR="008377D0" w:rsidRPr="00864E86" w14:paraId="7B040EB7" w14:textId="77777777" w:rsidTr="008377D0">
        <w:tc>
          <w:tcPr>
            <w:tcW w:w="3209" w:type="dxa"/>
          </w:tcPr>
          <w:p w14:paraId="335049FC" w14:textId="4C77C5C7" w:rsidR="008377D0" w:rsidRPr="00864E86" w:rsidRDefault="008377D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 xml:space="preserve">Березень 2021 </w:t>
            </w:r>
          </w:p>
        </w:tc>
        <w:tc>
          <w:tcPr>
            <w:tcW w:w="3307" w:type="dxa"/>
          </w:tcPr>
          <w:p w14:paraId="2A330FCE" w14:textId="5237D172" w:rsidR="008377D0" w:rsidRPr="00864E86" w:rsidRDefault="006B5A5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7347</w:t>
            </w:r>
          </w:p>
        </w:tc>
        <w:tc>
          <w:tcPr>
            <w:tcW w:w="3113" w:type="dxa"/>
          </w:tcPr>
          <w:p w14:paraId="03F221B7" w14:textId="252A90B2" w:rsidR="008377D0" w:rsidRPr="00864E86" w:rsidRDefault="00002520" w:rsidP="000E2D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E86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</w:tr>
    </w:tbl>
    <w:p w14:paraId="6F1783CD" w14:textId="3886757F" w:rsidR="00864E86" w:rsidRDefault="00EF2ACD" w:rsidP="00864E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Отже,</w:t>
      </w:r>
      <w:r w:rsidR="00864E86" w:rsidRPr="00864E86">
        <w:rPr>
          <w:rFonts w:ascii="Times New Roman" w:hAnsi="Times New Roman" w:cs="Times New Roman"/>
          <w:sz w:val="26"/>
          <w:szCs w:val="26"/>
        </w:rPr>
        <w:t xml:space="preserve"> </w:t>
      </w:r>
      <w:r w:rsidR="00864E86">
        <w:rPr>
          <w:rFonts w:ascii="Times New Roman" w:hAnsi="Times New Roman" w:cs="Times New Roman"/>
          <w:sz w:val="26"/>
          <w:szCs w:val="26"/>
        </w:rPr>
        <w:t>що фактична завантаженість готелю є критично низькою.</w:t>
      </w:r>
    </w:p>
    <w:p w14:paraId="094FD0F3" w14:textId="0E99D432" w:rsidR="006812F3" w:rsidRDefault="006812F3" w:rsidP="00864E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Фактична ж завантаженість штатних посад підприємства становить 74%.</w:t>
      </w:r>
    </w:p>
    <w:p w14:paraId="50123CD0" w14:textId="35542E97" w:rsidR="006812F3" w:rsidRPr="006812F3" w:rsidRDefault="006812F3" w:rsidP="00864E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12F3">
        <w:rPr>
          <w:rFonts w:ascii="Times New Roman" w:hAnsi="Times New Roman" w:cs="Times New Roman"/>
          <w:sz w:val="26"/>
          <w:szCs w:val="26"/>
        </w:rPr>
        <w:t xml:space="preserve">Враховуючи викладене, діяльність </w:t>
      </w:r>
      <w:r w:rsidR="00864E86" w:rsidRPr="006812F3">
        <w:rPr>
          <w:rFonts w:ascii="Times New Roman" w:hAnsi="Times New Roman" w:cs="Times New Roman"/>
          <w:sz w:val="26"/>
          <w:szCs w:val="26"/>
        </w:rPr>
        <w:t xml:space="preserve"> </w:t>
      </w:r>
      <w:r w:rsidRPr="00864E86">
        <w:rPr>
          <w:rFonts w:ascii="Times New Roman" w:hAnsi="Times New Roman" w:cs="Times New Roman"/>
          <w:sz w:val="26"/>
          <w:szCs w:val="26"/>
        </w:rPr>
        <w:t>КП БМР «Підприємство готельного господарства»</w:t>
      </w:r>
      <w:r>
        <w:rPr>
          <w:rFonts w:ascii="Times New Roman" w:hAnsi="Times New Roman" w:cs="Times New Roman"/>
          <w:sz w:val="26"/>
          <w:szCs w:val="26"/>
        </w:rPr>
        <w:t xml:space="preserve">, яка початково </w:t>
      </w:r>
      <w:r w:rsidR="00864E86" w:rsidRPr="006812F3">
        <w:rPr>
          <w:rFonts w:ascii="Times New Roman" w:hAnsi="Times New Roman" w:cs="Times New Roman"/>
          <w:sz w:val="26"/>
          <w:szCs w:val="26"/>
        </w:rPr>
        <w:t xml:space="preserve">спрямована на отримання прибутку через надання різноманітних послуг у вигляді житла, харчування, </w:t>
      </w:r>
      <w:r w:rsidRPr="006812F3">
        <w:rPr>
          <w:rFonts w:ascii="Times New Roman" w:hAnsi="Times New Roman" w:cs="Times New Roman"/>
          <w:sz w:val="26"/>
          <w:szCs w:val="26"/>
        </w:rPr>
        <w:t>розважального</w:t>
      </w:r>
      <w:r w:rsidR="00864E86" w:rsidRPr="006812F3">
        <w:rPr>
          <w:rFonts w:ascii="Times New Roman" w:hAnsi="Times New Roman" w:cs="Times New Roman"/>
          <w:sz w:val="26"/>
          <w:szCs w:val="26"/>
        </w:rPr>
        <w:t xml:space="preserve"> та іншого сервісу</w:t>
      </w:r>
      <w:r w:rsidRPr="006812F3">
        <w:rPr>
          <w:rFonts w:ascii="Times New Roman" w:hAnsi="Times New Roman" w:cs="Times New Roman"/>
          <w:sz w:val="26"/>
          <w:szCs w:val="26"/>
        </w:rPr>
        <w:t xml:space="preserve"> є дещо </w:t>
      </w:r>
      <w:r w:rsidR="00C27F6E">
        <w:rPr>
          <w:rFonts w:ascii="Times New Roman" w:hAnsi="Times New Roman" w:cs="Times New Roman"/>
          <w:sz w:val="26"/>
          <w:szCs w:val="26"/>
        </w:rPr>
        <w:t>неповноцінною</w:t>
      </w:r>
      <w:r w:rsidR="0096501C">
        <w:rPr>
          <w:rFonts w:ascii="Times New Roman" w:hAnsi="Times New Roman" w:cs="Times New Roman"/>
          <w:sz w:val="26"/>
          <w:szCs w:val="26"/>
        </w:rPr>
        <w:t>, п</w:t>
      </w:r>
      <w:r w:rsidRPr="006812F3">
        <w:rPr>
          <w:rFonts w:ascii="Times New Roman" w:hAnsi="Times New Roman" w:cs="Times New Roman"/>
          <w:sz w:val="26"/>
          <w:szCs w:val="26"/>
        </w:rPr>
        <w:t>ричиною</w:t>
      </w:r>
      <w:r w:rsidR="0096501C">
        <w:rPr>
          <w:rFonts w:ascii="Times New Roman" w:hAnsi="Times New Roman" w:cs="Times New Roman"/>
          <w:sz w:val="26"/>
          <w:szCs w:val="26"/>
        </w:rPr>
        <w:t xml:space="preserve"> чому </w:t>
      </w:r>
      <w:r w:rsidRPr="006812F3">
        <w:rPr>
          <w:rFonts w:ascii="Times New Roman" w:hAnsi="Times New Roman" w:cs="Times New Roman"/>
          <w:sz w:val="26"/>
          <w:szCs w:val="26"/>
        </w:rPr>
        <w:t>слугує незадовільний технічний стан приміщень.</w:t>
      </w:r>
    </w:p>
    <w:p w14:paraId="20F2EFBD" w14:textId="7EE1CD3E" w:rsidR="000E2D57" w:rsidRPr="0096501C" w:rsidRDefault="0096501C" w:rsidP="0096501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501C">
        <w:rPr>
          <w:rFonts w:ascii="Times New Roman" w:hAnsi="Times New Roman" w:cs="Times New Roman"/>
          <w:sz w:val="26"/>
          <w:szCs w:val="26"/>
        </w:rPr>
        <w:t xml:space="preserve">Готельне господарство є основною складовою туристичної інфраструктури, що значною мірою впливає на вибір споживачів при плануванні відпочинку. Розташування підприємства поблизу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6501C">
        <w:rPr>
          <w:rFonts w:ascii="Times New Roman" w:hAnsi="Times New Roman" w:cs="Times New Roman"/>
          <w:sz w:val="26"/>
          <w:szCs w:val="26"/>
        </w:rPr>
        <w:t>ержавн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6501C">
        <w:rPr>
          <w:rFonts w:ascii="Times New Roman" w:hAnsi="Times New Roman" w:cs="Times New Roman"/>
          <w:sz w:val="26"/>
          <w:szCs w:val="26"/>
        </w:rPr>
        <w:t> </w:t>
      </w:r>
      <w:hyperlink r:id="rId7" w:tooltip="Дендрологічний парк" w:history="1">
        <w:r w:rsidRPr="0096501C">
          <w:rPr>
            <w:rFonts w:ascii="Times New Roman" w:hAnsi="Times New Roman" w:cs="Times New Roman"/>
            <w:sz w:val="26"/>
            <w:szCs w:val="26"/>
          </w:rPr>
          <w:t>дендрологічн</w:t>
        </w:r>
        <w:r>
          <w:rPr>
            <w:rFonts w:ascii="Times New Roman" w:hAnsi="Times New Roman" w:cs="Times New Roman"/>
            <w:sz w:val="26"/>
            <w:szCs w:val="26"/>
          </w:rPr>
          <w:t>ого</w:t>
        </w:r>
        <w:r w:rsidRPr="0096501C">
          <w:rPr>
            <w:rFonts w:ascii="Times New Roman" w:hAnsi="Times New Roman" w:cs="Times New Roman"/>
            <w:sz w:val="26"/>
            <w:szCs w:val="26"/>
          </w:rPr>
          <w:t xml:space="preserve"> парк</w:t>
        </w:r>
      </w:hyperlink>
      <w:r>
        <w:rPr>
          <w:rFonts w:ascii="Times New Roman" w:hAnsi="Times New Roman" w:cs="Times New Roman"/>
          <w:sz w:val="26"/>
          <w:szCs w:val="26"/>
        </w:rPr>
        <w:t>у</w:t>
      </w:r>
      <w:r w:rsidRPr="0096501C">
        <w:rPr>
          <w:rFonts w:ascii="Times New Roman" w:hAnsi="Times New Roman" w:cs="Times New Roman"/>
          <w:sz w:val="26"/>
          <w:szCs w:val="26"/>
        </w:rPr>
        <w:t> </w:t>
      </w:r>
      <w:hyperlink r:id="rId8" w:history="1">
        <w:r w:rsidRPr="0096501C">
          <w:rPr>
            <w:rFonts w:ascii="Times New Roman" w:hAnsi="Times New Roman" w:cs="Times New Roman"/>
            <w:sz w:val="26"/>
            <w:szCs w:val="26"/>
          </w:rPr>
          <w:t>Національної академії наук України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«Олександрія»</w:t>
      </w:r>
      <w:r w:rsidR="00DD77E0">
        <w:rPr>
          <w:rFonts w:ascii="Times New Roman" w:hAnsi="Times New Roman" w:cs="Times New Roman"/>
          <w:sz w:val="26"/>
          <w:szCs w:val="26"/>
        </w:rPr>
        <w:t xml:space="preserve">, який відвідує численна кількість іногородніх мешканців, </w:t>
      </w:r>
      <w:r>
        <w:rPr>
          <w:rFonts w:ascii="Times New Roman" w:hAnsi="Times New Roman" w:cs="Times New Roman"/>
          <w:sz w:val="26"/>
          <w:szCs w:val="26"/>
        </w:rPr>
        <w:t xml:space="preserve"> безперечно є суттєвою перспективою для розвитку готелю, проте за умови належного і достатнього фінансування та забезпечення технічної справності </w:t>
      </w:r>
      <w:r w:rsidR="00EF2ACD">
        <w:rPr>
          <w:rFonts w:ascii="Times New Roman" w:hAnsi="Times New Roman" w:cs="Times New Roman"/>
          <w:sz w:val="26"/>
          <w:szCs w:val="26"/>
        </w:rPr>
        <w:t>будівель та споруд</w:t>
      </w:r>
      <w:r w:rsidR="00DD77E0">
        <w:rPr>
          <w:rFonts w:ascii="Times New Roman" w:hAnsi="Times New Roman" w:cs="Times New Roman"/>
          <w:sz w:val="26"/>
          <w:szCs w:val="26"/>
        </w:rPr>
        <w:t xml:space="preserve"> підприємства.</w:t>
      </w:r>
      <w:bookmarkStart w:id="0" w:name="_GoBack"/>
      <w:bookmarkEnd w:id="0"/>
    </w:p>
    <w:sectPr w:rsidR="000E2D57" w:rsidRPr="00965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23A11"/>
    <w:multiLevelType w:val="hybridMultilevel"/>
    <w:tmpl w:val="3E9651A2"/>
    <w:lvl w:ilvl="0" w:tplc="510CBEC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B2"/>
    <w:rsid w:val="00002520"/>
    <w:rsid w:val="000C7B8E"/>
    <w:rsid w:val="000E2D57"/>
    <w:rsid w:val="00247A11"/>
    <w:rsid w:val="003E33B2"/>
    <w:rsid w:val="004515ED"/>
    <w:rsid w:val="00571320"/>
    <w:rsid w:val="00673BA6"/>
    <w:rsid w:val="006812F3"/>
    <w:rsid w:val="006B5A50"/>
    <w:rsid w:val="00812B13"/>
    <w:rsid w:val="008377D0"/>
    <w:rsid w:val="00864E86"/>
    <w:rsid w:val="0096501C"/>
    <w:rsid w:val="00982877"/>
    <w:rsid w:val="00C21463"/>
    <w:rsid w:val="00C27F6E"/>
    <w:rsid w:val="00DD77E0"/>
    <w:rsid w:val="00E10DE0"/>
    <w:rsid w:val="00E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11D8"/>
  <w15:chartTrackingRefBased/>
  <w15:docId w15:val="{9E763B0B-5B1A-48C1-AAD8-105A139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12B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Насичена цитата Знак"/>
    <w:basedOn w:val="a0"/>
    <w:link w:val="a3"/>
    <w:uiPriority w:val="30"/>
    <w:rsid w:val="00812B13"/>
    <w:rPr>
      <w:i/>
      <w:iCs/>
      <w:color w:val="4472C4" w:themeColor="accent1"/>
    </w:rPr>
  </w:style>
  <w:style w:type="character" w:styleId="a5">
    <w:name w:val="Hyperlink"/>
    <w:basedOn w:val="a0"/>
    <w:uiPriority w:val="99"/>
    <w:unhideWhenUsed/>
    <w:rsid w:val="00812B13"/>
    <w:rPr>
      <w:color w:val="0000FF"/>
      <w:u w:val="single"/>
    </w:rPr>
  </w:style>
  <w:style w:type="table" w:styleId="a6">
    <w:name w:val="Table Grid"/>
    <w:basedOn w:val="a1"/>
    <w:uiPriority w:val="39"/>
    <w:rsid w:val="0024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47A1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E2D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0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10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4%D0%B5%D0%BD%D0%B4%D1%80%D0%BE%D0%BB%D0%BE%D0%B3%D1%96%D1%87%D0%BD%D0%B8%D0%B9_%D0%BF%D0%B0%D1%80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_mvk@bc-rada.gov.ua" TargetMode="External"/><Relationship Id="rId5" Type="http://schemas.openxmlformats.org/officeDocument/2006/relationships/hyperlink" Target="mailto:rosy_pgg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3607</Words>
  <Characters>2056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wv11</dc:creator>
  <cp:keywords/>
  <dc:description/>
  <cp:lastModifiedBy>RePack by Diakov</cp:lastModifiedBy>
  <cp:revision>12</cp:revision>
  <cp:lastPrinted>2021-05-13T13:31:00Z</cp:lastPrinted>
  <dcterms:created xsi:type="dcterms:W3CDTF">2021-05-13T08:44:00Z</dcterms:created>
  <dcterms:modified xsi:type="dcterms:W3CDTF">2021-05-13T13:33:00Z</dcterms:modified>
</cp:coreProperties>
</file>